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F1B" w:rsidRPr="00856F1B" w:rsidRDefault="00856F1B" w:rsidP="00856F1B">
      <w:pPr>
        <w:widowControl/>
        <w:jc w:val="center"/>
        <w:outlineLvl w:val="1"/>
        <w:rPr>
          <w:rFonts w:ascii="黑体" w:eastAsia="黑体" w:hAnsi="Arial" w:cs="Arial"/>
          <w:color w:val="333333"/>
          <w:kern w:val="36"/>
          <w:sz w:val="27"/>
          <w:szCs w:val="27"/>
        </w:rPr>
      </w:pPr>
      <w:r w:rsidRPr="00856F1B">
        <w:rPr>
          <w:rFonts w:ascii="黑体" w:eastAsia="黑体" w:hAnsi="Arial" w:cs="Arial" w:hint="eastAsia"/>
          <w:color w:val="333333"/>
          <w:kern w:val="36"/>
          <w:sz w:val="27"/>
          <w:szCs w:val="27"/>
        </w:rPr>
        <w:t>国家税务总局关于逾期增值税扣税凭证抵扣问题的公告</w:t>
      </w:r>
    </w:p>
    <w:p w:rsidR="00856F1B" w:rsidRPr="00856F1B" w:rsidRDefault="00856F1B" w:rsidP="00856F1B">
      <w:pPr>
        <w:widowControl/>
        <w:jc w:val="left"/>
        <w:rPr>
          <w:rFonts w:ascii="Arial" w:eastAsia="宋体" w:hAnsi="Arial" w:cs="Arial" w:hint="eastAsia"/>
          <w:color w:val="333333"/>
          <w:kern w:val="0"/>
          <w:sz w:val="18"/>
          <w:szCs w:val="18"/>
        </w:rPr>
      </w:pPr>
      <w:r w:rsidRPr="00856F1B">
        <w:rPr>
          <w:rFonts w:ascii="Arial" w:eastAsia="宋体" w:hAnsi="Arial" w:cs="Arial"/>
          <w:color w:val="333333"/>
          <w:kern w:val="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8pt" o:ole="">
            <v:imagedata r:id="rId6" o:title=""/>
          </v:shape>
          <w:control r:id="rId7" w:name="DefaultOcxName" w:shapeid="_x0000_i1027"/>
        </w:object>
      </w:r>
    </w:p>
    <w:p w:rsidR="00856F1B" w:rsidRPr="00856F1B" w:rsidRDefault="00856F1B" w:rsidP="00856F1B">
      <w:pPr>
        <w:widowControl/>
        <w:jc w:val="center"/>
        <w:rPr>
          <w:rFonts w:ascii="Arial" w:eastAsia="宋体" w:hAnsi="Arial" w:cs="Arial"/>
          <w:color w:val="333333"/>
          <w:kern w:val="0"/>
          <w:sz w:val="18"/>
          <w:szCs w:val="18"/>
        </w:rPr>
      </w:pPr>
      <w:r w:rsidRPr="00856F1B">
        <w:rPr>
          <w:rFonts w:ascii="Arial" w:eastAsia="宋体" w:hAnsi="Arial" w:cs="Arial"/>
          <w:color w:val="333333"/>
          <w:kern w:val="0"/>
          <w:sz w:val="18"/>
          <w:szCs w:val="18"/>
        </w:rPr>
        <w:t>国家税务总局公告</w:t>
      </w:r>
      <w:r w:rsidRPr="00856F1B">
        <w:rPr>
          <w:rFonts w:ascii="Arial" w:eastAsia="宋体" w:hAnsi="Arial" w:cs="Arial"/>
          <w:color w:val="333333"/>
          <w:kern w:val="0"/>
          <w:sz w:val="18"/>
          <w:szCs w:val="18"/>
        </w:rPr>
        <w:t>2011</w:t>
      </w:r>
      <w:r w:rsidRPr="00856F1B">
        <w:rPr>
          <w:rFonts w:ascii="Arial" w:eastAsia="宋体" w:hAnsi="Arial" w:cs="Arial"/>
          <w:color w:val="333333"/>
          <w:kern w:val="0"/>
          <w:sz w:val="18"/>
          <w:szCs w:val="18"/>
        </w:rPr>
        <w:t>年第</w:t>
      </w:r>
      <w:r w:rsidRPr="00856F1B">
        <w:rPr>
          <w:rFonts w:ascii="Arial" w:eastAsia="宋体" w:hAnsi="Arial" w:cs="Arial"/>
          <w:color w:val="333333"/>
          <w:kern w:val="0"/>
          <w:sz w:val="18"/>
          <w:szCs w:val="18"/>
        </w:rPr>
        <w:t>50</w:t>
      </w:r>
      <w:r w:rsidRPr="00856F1B">
        <w:rPr>
          <w:rFonts w:ascii="Arial" w:eastAsia="宋体" w:hAnsi="Arial" w:cs="Arial"/>
          <w:color w:val="333333"/>
          <w:kern w:val="0"/>
          <w:sz w:val="18"/>
          <w:szCs w:val="18"/>
        </w:rPr>
        <w:t>号</w:t>
      </w:r>
      <w:r w:rsidRPr="00856F1B">
        <w:rPr>
          <w:rFonts w:ascii="Arial" w:eastAsia="宋体" w:hAnsi="Arial" w:cs="Arial"/>
          <w:color w:val="333333"/>
          <w:kern w:val="0"/>
          <w:sz w:val="18"/>
          <w:szCs w:val="18"/>
        </w:rPr>
        <w:t>  </w:t>
      </w:r>
      <w:r w:rsidRPr="00856F1B">
        <w:rPr>
          <w:rFonts w:ascii="Arial" w:eastAsia="宋体" w:hAnsi="Arial" w:cs="Arial"/>
          <w:color w:val="333333"/>
          <w:kern w:val="0"/>
          <w:sz w:val="18"/>
          <w:szCs w:val="18"/>
        </w:rPr>
        <w:t>发文日期：</w:t>
      </w:r>
      <w:r w:rsidRPr="00856F1B">
        <w:rPr>
          <w:rFonts w:ascii="Arial" w:eastAsia="宋体" w:hAnsi="Arial" w:cs="Arial"/>
          <w:color w:val="333333"/>
          <w:kern w:val="0"/>
          <w:sz w:val="18"/>
          <w:szCs w:val="18"/>
        </w:rPr>
        <w:t xml:space="preserve"> 2011</w:t>
      </w:r>
      <w:r w:rsidRPr="00856F1B">
        <w:rPr>
          <w:rFonts w:ascii="Arial" w:eastAsia="宋体" w:hAnsi="Arial" w:cs="Arial"/>
          <w:color w:val="333333"/>
          <w:kern w:val="0"/>
          <w:sz w:val="18"/>
          <w:szCs w:val="18"/>
        </w:rPr>
        <w:t>年</w:t>
      </w:r>
      <w:r w:rsidRPr="00856F1B">
        <w:rPr>
          <w:rFonts w:ascii="Arial" w:eastAsia="宋体" w:hAnsi="Arial" w:cs="Arial"/>
          <w:color w:val="333333"/>
          <w:kern w:val="0"/>
          <w:sz w:val="18"/>
          <w:szCs w:val="18"/>
        </w:rPr>
        <w:t>09</w:t>
      </w:r>
      <w:r w:rsidRPr="00856F1B">
        <w:rPr>
          <w:rFonts w:ascii="Arial" w:eastAsia="宋体" w:hAnsi="Arial" w:cs="Arial"/>
          <w:color w:val="333333"/>
          <w:kern w:val="0"/>
          <w:sz w:val="18"/>
          <w:szCs w:val="18"/>
        </w:rPr>
        <w:t>月</w:t>
      </w:r>
      <w:r w:rsidRPr="00856F1B">
        <w:rPr>
          <w:rFonts w:ascii="Arial" w:eastAsia="宋体" w:hAnsi="Arial" w:cs="Arial"/>
          <w:color w:val="333333"/>
          <w:kern w:val="0"/>
          <w:sz w:val="18"/>
          <w:szCs w:val="18"/>
        </w:rPr>
        <w:t>14</w:t>
      </w:r>
      <w:r w:rsidRPr="00856F1B">
        <w:rPr>
          <w:rFonts w:ascii="Arial" w:eastAsia="宋体" w:hAnsi="Arial" w:cs="Arial"/>
          <w:color w:val="333333"/>
          <w:kern w:val="0"/>
          <w:sz w:val="18"/>
          <w:szCs w:val="18"/>
        </w:rPr>
        <w:t>日</w:t>
      </w:r>
      <w:r w:rsidRPr="00856F1B">
        <w:rPr>
          <w:rFonts w:ascii="Arial" w:eastAsia="宋体" w:hAnsi="Arial" w:cs="Arial"/>
          <w:color w:val="333333"/>
          <w:kern w:val="0"/>
          <w:sz w:val="18"/>
          <w:szCs w:val="18"/>
        </w:rPr>
        <w:t xml:space="preserve"> </w:t>
      </w:r>
      <w:r w:rsidRPr="00856F1B">
        <w:rPr>
          <w:rFonts w:ascii="Arial" w:eastAsia="宋体" w:hAnsi="Arial" w:cs="Arial"/>
          <w:color w:val="D00000"/>
          <w:kern w:val="0"/>
          <w:sz w:val="18"/>
        </w:rPr>
        <w:t>【全文有效】</w:t>
      </w:r>
      <w:r w:rsidRPr="00856F1B">
        <w:rPr>
          <w:rFonts w:ascii="Arial" w:eastAsia="宋体" w:hAnsi="Arial" w:cs="Arial"/>
          <w:color w:val="333333"/>
          <w:kern w:val="0"/>
          <w:sz w:val="18"/>
          <w:szCs w:val="18"/>
        </w:rPr>
        <w:t xml:space="preserve"> </w:t>
      </w:r>
      <w:r w:rsidRPr="00856F1B">
        <w:rPr>
          <w:rFonts w:ascii="Arial" w:eastAsia="宋体" w:hAnsi="Arial" w:cs="Arial"/>
          <w:color w:val="333333"/>
          <w:kern w:val="0"/>
          <w:sz w:val="18"/>
          <w:szCs w:val="18"/>
        </w:rPr>
        <w:t>【主动公开】</w:t>
      </w:r>
      <w:r w:rsidRPr="00856F1B">
        <w:rPr>
          <w:rFonts w:ascii="Arial" w:eastAsia="宋体" w:hAnsi="Arial" w:cs="Arial"/>
          <w:color w:val="333333"/>
          <w:kern w:val="0"/>
          <w:sz w:val="18"/>
          <w:szCs w:val="18"/>
        </w:rPr>
        <w:t xml:space="preserve"> </w:t>
      </w:r>
    </w:p>
    <w:p w:rsidR="00856F1B" w:rsidRPr="00856F1B" w:rsidRDefault="00856F1B" w:rsidP="00856F1B">
      <w:pPr>
        <w:widowControl/>
        <w:jc w:val="left"/>
        <w:rPr>
          <w:rFonts w:ascii="Arial" w:eastAsia="宋体" w:hAnsi="Arial" w:cs="Arial"/>
          <w:color w:val="333333"/>
          <w:kern w:val="0"/>
          <w:sz w:val="18"/>
          <w:szCs w:val="18"/>
        </w:rPr>
      </w:pPr>
      <w:hyperlink r:id="rId8" w:history="1">
        <w:r w:rsidRPr="00856F1B">
          <w:rPr>
            <w:rFonts w:ascii="Arial" w:eastAsia="宋体" w:hAnsi="Arial" w:cs="Arial"/>
            <w:color w:val="333333"/>
            <w:kern w:val="0"/>
            <w:sz w:val="18"/>
          </w:rPr>
          <w:t>显示明细</w:t>
        </w:r>
      </w:hyperlink>
      <w:r w:rsidRPr="00856F1B">
        <w:rPr>
          <w:rFonts w:ascii="Arial" w:eastAsia="宋体" w:hAnsi="Arial" w:cs="Arial"/>
          <w:color w:val="333333"/>
          <w:kern w:val="0"/>
          <w:sz w:val="18"/>
        </w:rPr>
        <w:t xml:space="preserve"> </w:t>
      </w:r>
      <w:hyperlink r:id="rId9" w:history="1">
        <w:r w:rsidRPr="00856F1B">
          <w:rPr>
            <w:rFonts w:ascii="Arial" w:eastAsia="宋体" w:hAnsi="Arial" w:cs="Arial"/>
            <w:vanish/>
            <w:color w:val="333333"/>
            <w:kern w:val="0"/>
            <w:sz w:val="18"/>
          </w:rPr>
          <w:t>隐藏明细</w:t>
        </w:r>
      </w:hyperlink>
      <w:r w:rsidRPr="00856F1B">
        <w:rPr>
          <w:rFonts w:ascii="Arial" w:eastAsia="宋体" w:hAnsi="Arial" w:cs="Arial"/>
          <w:color w:val="333333"/>
          <w:kern w:val="0"/>
          <w:sz w:val="18"/>
          <w:szCs w:val="18"/>
        </w:rPr>
        <w:t>字号：</w:t>
      </w:r>
    </w:p>
    <w:tbl>
      <w:tblPr>
        <w:tblW w:w="5000" w:type="pct"/>
        <w:tblCellSpacing w:w="0" w:type="dxa"/>
        <w:tblCellMar>
          <w:left w:w="0" w:type="dxa"/>
          <w:right w:w="0" w:type="dxa"/>
        </w:tblCellMar>
        <w:tblLook w:val="04A0"/>
      </w:tblPr>
      <w:tblGrid>
        <w:gridCol w:w="1493"/>
        <w:gridCol w:w="2301"/>
        <w:gridCol w:w="2301"/>
        <w:gridCol w:w="2301"/>
      </w:tblGrid>
      <w:tr w:rsidR="00856F1B" w:rsidRPr="00856F1B" w:rsidTr="00856F1B">
        <w:trPr>
          <w:tblCellSpacing w:w="0" w:type="dxa"/>
          <w:hidden/>
        </w:trPr>
        <w:tc>
          <w:tcPr>
            <w:tcW w:w="650" w:type="pct"/>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所属类别：</w:t>
            </w:r>
          </w:p>
        </w:tc>
        <w:tc>
          <w:tcPr>
            <w:tcW w:w="1000" w:type="pct"/>
            <w:noWrap/>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税收法规</w:t>
            </w:r>
            <w:r w:rsidRPr="00856F1B">
              <w:rPr>
                <w:rFonts w:ascii="Arial" w:eastAsia="宋体" w:hAnsi="Arial" w:cs="Arial"/>
                <w:vanish/>
                <w:color w:val="0066FF"/>
                <w:kern w:val="0"/>
                <w:sz w:val="18"/>
                <w:szCs w:val="18"/>
              </w:rPr>
              <w:t>-&gt;</w:t>
            </w:r>
            <w:r w:rsidRPr="00856F1B">
              <w:rPr>
                <w:rFonts w:ascii="Arial" w:eastAsia="宋体" w:hAnsi="Arial" w:cs="Arial"/>
                <w:vanish/>
                <w:color w:val="0066FF"/>
                <w:kern w:val="0"/>
                <w:sz w:val="18"/>
                <w:szCs w:val="18"/>
              </w:rPr>
              <w:t>增值税</w:t>
            </w:r>
            <w:r w:rsidRPr="00856F1B">
              <w:rPr>
                <w:rFonts w:ascii="Arial" w:eastAsia="宋体" w:hAnsi="Arial" w:cs="Arial"/>
                <w:vanish/>
                <w:color w:val="0066FF"/>
                <w:kern w:val="0"/>
                <w:sz w:val="18"/>
                <w:szCs w:val="18"/>
              </w:rPr>
              <w:t> </w:t>
            </w:r>
          </w:p>
        </w:tc>
        <w:tc>
          <w:tcPr>
            <w:tcW w:w="1000" w:type="pct"/>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资料简码：</w:t>
            </w:r>
          </w:p>
        </w:tc>
        <w:tc>
          <w:tcPr>
            <w:tcW w:w="1000" w:type="pct"/>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032262 </w:t>
            </w:r>
          </w:p>
        </w:tc>
      </w:tr>
      <w:tr w:rsidR="00856F1B" w:rsidRPr="00856F1B" w:rsidTr="00856F1B">
        <w:trPr>
          <w:tblCellSpacing w:w="0" w:type="dxa"/>
          <w:hidden/>
        </w:trPr>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适用范围：</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国家</w:t>
            </w:r>
            <w:r w:rsidRPr="00856F1B">
              <w:rPr>
                <w:rFonts w:ascii="Arial" w:eastAsia="宋体" w:hAnsi="Arial" w:cs="Arial"/>
                <w:vanish/>
                <w:color w:val="0066FF"/>
                <w:kern w:val="0"/>
                <w:sz w:val="18"/>
                <w:szCs w:val="18"/>
              </w:rPr>
              <w:t> </w:t>
            </w:r>
          </w:p>
        </w:tc>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地区：</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中华人民共和国</w:t>
            </w:r>
            <w:r w:rsidRPr="00856F1B">
              <w:rPr>
                <w:rFonts w:ascii="Arial" w:eastAsia="宋体" w:hAnsi="Arial" w:cs="Arial"/>
                <w:vanish/>
                <w:color w:val="0066FF"/>
                <w:kern w:val="0"/>
                <w:sz w:val="18"/>
                <w:szCs w:val="18"/>
              </w:rPr>
              <w:t> </w:t>
            </w:r>
          </w:p>
        </w:tc>
      </w:tr>
      <w:tr w:rsidR="00856F1B" w:rsidRPr="00856F1B" w:rsidTr="00856F1B">
        <w:trPr>
          <w:tblCellSpacing w:w="0" w:type="dxa"/>
          <w:hidden/>
        </w:trPr>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行业类型：</w:t>
            </w:r>
          </w:p>
        </w:tc>
        <w:tc>
          <w:tcPr>
            <w:tcW w:w="0" w:type="auto"/>
            <w:noWrap/>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通用政策</w:t>
            </w:r>
            <w:r w:rsidRPr="00856F1B">
              <w:rPr>
                <w:rFonts w:ascii="Arial" w:eastAsia="宋体" w:hAnsi="Arial" w:cs="Arial"/>
                <w:vanish/>
                <w:color w:val="0066FF"/>
                <w:kern w:val="0"/>
                <w:sz w:val="18"/>
                <w:szCs w:val="18"/>
              </w:rPr>
              <w:t> </w:t>
            </w:r>
          </w:p>
        </w:tc>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纳税人类型：</w:t>
            </w:r>
          </w:p>
        </w:tc>
        <w:tc>
          <w:tcPr>
            <w:tcW w:w="0" w:type="auto"/>
            <w:noWrap/>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全部</w:t>
            </w:r>
            <w:r w:rsidRPr="00856F1B">
              <w:rPr>
                <w:rFonts w:ascii="Arial" w:eastAsia="宋体" w:hAnsi="Arial" w:cs="Arial"/>
                <w:vanish/>
                <w:color w:val="0066FF"/>
                <w:kern w:val="0"/>
                <w:sz w:val="18"/>
                <w:szCs w:val="18"/>
              </w:rPr>
              <w:t> </w:t>
            </w:r>
          </w:p>
        </w:tc>
      </w:tr>
      <w:tr w:rsidR="00856F1B" w:rsidRPr="00856F1B" w:rsidTr="00856F1B">
        <w:trPr>
          <w:tblCellSpacing w:w="0" w:type="dxa"/>
          <w:hidden/>
        </w:trPr>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文件级别：</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规范性文件</w:t>
            </w:r>
            <w:r w:rsidRPr="00856F1B">
              <w:rPr>
                <w:rFonts w:ascii="Arial" w:eastAsia="宋体" w:hAnsi="Arial" w:cs="Arial"/>
                <w:vanish/>
                <w:color w:val="0066FF"/>
                <w:kern w:val="0"/>
                <w:sz w:val="18"/>
                <w:szCs w:val="18"/>
              </w:rPr>
              <w:t> </w:t>
            </w:r>
          </w:p>
        </w:tc>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是否税收优惠：</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否</w:t>
            </w:r>
            <w:r w:rsidRPr="00856F1B">
              <w:rPr>
                <w:rFonts w:ascii="Arial" w:eastAsia="宋体" w:hAnsi="Arial" w:cs="Arial"/>
                <w:vanish/>
                <w:color w:val="0066FF"/>
                <w:kern w:val="0"/>
                <w:sz w:val="18"/>
                <w:szCs w:val="18"/>
              </w:rPr>
              <w:t> </w:t>
            </w:r>
          </w:p>
        </w:tc>
      </w:tr>
      <w:tr w:rsidR="00856F1B" w:rsidRPr="00856F1B" w:rsidTr="00856F1B">
        <w:trPr>
          <w:tblCellSpacing w:w="0" w:type="dxa"/>
          <w:hidden/>
        </w:trPr>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更新日期：</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2012</w:t>
            </w:r>
            <w:r w:rsidRPr="00856F1B">
              <w:rPr>
                <w:rFonts w:ascii="Arial" w:eastAsia="宋体" w:hAnsi="Arial" w:cs="Arial"/>
                <w:vanish/>
                <w:color w:val="0066FF"/>
                <w:kern w:val="0"/>
                <w:sz w:val="18"/>
                <w:szCs w:val="18"/>
              </w:rPr>
              <w:t>年</w:t>
            </w:r>
            <w:r w:rsidRPr="00856F1B">
              <w:rPr>
                <w:rFonts w:ascii="Arial" w:eastAsia="宋体" w:hAnsi="Arial" w:cs="Arial"/>
                <w:vanish/>
                <w:color w:val="0066FF"/>
                <w:kern w:val="0"/>
                <w:sz w:val="18"/>
                <w:szCs w:val="18"/>
              </w:rPr>
              <w:t>10</w:t>
            </w:r>
            <w:r w:rsidRPr="00856F1B">
              <w:rPr>
                <w:rFonts w:ascii="Arial" w:eastAsia="宋体" w:hAnsi="Arial" w:cs="Arial"/>
                <w:vanish/>
                <w:color w:val="0066FF"/>
                <w:kern w:val="0"/>
                <w:sz w:val="18"/>
                <w:szCs w:val="18"/>
              </w:rPr>
              <w:t>月</w:t>
            </w:r>
            <w:r w:rsidRPr="00856F1B">
              <w:rPr>
                <w:rFonts w:ascii="Arial" w:eastAsia="宋体" w:hAnsi="Arial" w:cs="Arial"/>
                <w:vanish/>
                <w:color w:val="0066FF"/>
                <w:kern w:val="0"/>
                <w:sz w:val="18"/>
                <w:szCs w:val="18"/>
              </w:rPr>
              <w:t>24</w:t>
            </w:r>
            <w:r w:rsidRPr="00856F1B">
              <w:rPr>
                <w:rFonts w:ascii="Arial" w:eastAsia="宋体" w:hAnsi="Arial" w:cs="Arial"/>
                <w:vanish/>
                <w:color w:val="0066FF"/>
                <w:kern w:val="0"/>
                <w:sz w:val="18"/>
                <w:szCs w:val="18"/>
              </w:rPr>
              <w:t>日</w:t>
            </w:r>
            <w:r w:rsidRPr="00856F1B">
              <w:rPr>
                <w:rFonts w:ascii="Arial" w:eastAsia="宋体" w:hAnsi="Arial" w:cs="Arial"/>
                <w:vanish/>
                <w:color w:val="0066FF"/>
                <w:kern w:val="0"/>
                <w:sz w:val="18"/>
                <w:szCs w:val="18"/>
              </w:rPr>
              <w:t> </w:t>
            </w:r>
          </w:p>
        </w:tc>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生效日期：</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2011</w:t>
            </w:r>
            <w:r w:rsidRPr="00856F1B">
              <w:rPr>
                <w:rFonts w:ascii="Arial" w:eastAsia="宋体" w:hAnsi="Arial" w:cs="Arial"/>
                <w:vanish/>
                <w:color w:val="0066FF"/>
                <w:kern w:val="0"/>
                <w:sz w:val="18"/>
                <w:szCs w:val="18"/>
              </w:rPr>
              <w:t>年</w:t>
            </w:r>
            <w:r w:rsidRPr="00856F1B">
              <w:rPr>
                <w:rFonts w:ascii="Arial" w:eastAsia="宋体" w:hAnsi="Arial" w:cs="Arial"/>
                <w:vanish/>
                <w:color w:val="0066FF"/>
                <w:kern w:val="0"/>
                <w:sz w:val="18"/>
                <w:szCs w:val="18"/>
              </w:rPr>
              <w:t>10</w:t>
            </w:r>
            <w:r w:rsidRPr="00856F1B">
              <w:rPr>
                <w:rFonts w:ascii="Arial" w:eastAsia="宋体" w:hAnsi="Arial" w:cs="Arial"/>
                <w:vanish/>
                <w:color w:val="0066FF"/>
                <w:kern w:val="0"/>
                <w:sz w:val="18"/>
                <w:szCs w:val="18"/>
              </w:rPr>
              <w:t>月</w:t>
            </w:r>
            <w:r w:rsidRPr="00856F1B">
              <w:rPr>
                <w:rFonts w:ascii="Arial" w:eastAsia="宋体" w:hAnsi="Arial" w:cs="Arial"/>
                <w:vanish/>
                <w:color w:val="0066FF"/>
                <w:kern w:val="0"/>
                <w:sz w:val="18"/>
                <w:szCs w:val="18"/>
              </w:rPr>
              <w:t>01</w:t>
            </w:r>
            <w:r w:rsidRPr="00856F1B">
              <w:rPr>
                <w:rFonts w:ascii="Arial" w:eastAsia="宋体" w:hAnsi="Arial" w:cs="Arial"/>
                <w:vanish/>
                <w:color w:val="0066FF"/>
                <w:kern w:val="0"/>
                <w:sz w:val="18"/>
                <w:szCs w:val="18"/>
              </w:rPr>
              <w:t>日</w:t>
            </w:r>
            <w:r w:rsidRPr="00856F1B">
              <w:rPr>
                <w:rFonts w:ascii="Arial" w:eastAsia="宋体" w:hAnsi="Arial" w:cs="Arial"/>
                <w:vanish/>
                <w:color w:val="0066FF"/>
                <w:kern w:val="0"/>
                <w:sz w:val="18"/>
                <w:szCs w:val="18"/>
              </w:rPr>
              <w:t> </w:t>
            </w:r>
          </w:p>
        </w:tc>
      </w:tr>
      <w:tr w:rsidR="00856F1B" w:rsidRPr="00856F1B" w:rsidTr="00856F1B">
        <w:trPr>
          <w:tblCellSpacing w:w="0" w:type="dxa"/>
          <w:hidden/>
        </w:trPr>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国地税选择：</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国税</w:t>
            </w:r>
            <w:r w:rsidRPr="00856F1B">
              <w:rPr>
                <w:rFonts w:ascii="Arial" w:eastAsia="宋体" w:hAnsi="Arial" w:cs="Arial"/>
                <w:vanish/>
                <w:color w:val="0066FF"/>
                <w:kern w:val="0"/>
                <w:sz w:val="18"/>
                <w:szCs w:val="18"/>
              </w:rPr>
              <w:t> </w:t>
            </w:r>
          </w:p>
        </w:tc>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信息公开选项：</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主动公开</w:t>
            </w:r>
            <w:r w:rsidRPr="00856F1B">
              <w:rPr>
                <w:rFonts w:ascii="Arial" w:eastAsia="宋体" w:hAnsi="Arial" w:cs="Arial"/>
                <w:vanish/>
                <w:color w:val="0066FF"/>
                <w:kern w:val="0"/>
                <w:sz w:val="18"/>
                <w:szCs w:val="18"/>
              </w:rPr>
              <w:t> </w:t>
            </w:r>
          </w:p>
        </w:tc>
      </w:tr>
      <w:tr w:rsidR="00856F1B" w:rsidRPr="00856F1B" w:rsidTr="00856F1B">
        <w:trPr>
          <w:tblCellSpacing w:w="0" w:type="dxa"/>
          <w:hidden/>
        </w:trPr>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发布单位：</w:t>
            </w:r>
          </w:p>
        </w:tc>
        <w:tc>
          <w:tcPr>
            <w:tcW w:w="0" w:type="auto"/>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国家税务总局</w:t>
            </w:r>
            <w:r w:rsidRPr="00856F1B">
              <w:rPr>
                <w:rFonts w:ascii="Arial" w:eastAsia="宋体" w:hAnsi="Arial" w:cs="Arial"/>
                <w:vanish/>
                <w:color w:val="0066FF"/>
                <w:kern w:val="0"/>
                <w:sz w:val="18"/>
                <w:szCs w:val="18"/>
              </w:rPr>
              <w:t> </w:t>
            </w:r>
          </w:p>
        </w:tc>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关键字：</w:t>
            </w:r>
          </w:p>
        </w:tc>
        <w:tc>
          <w:tcPr>
            <w:tcW w:w="0" w:type="auto"/>
            <w:noWrap/>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增值税</w:t>
            </w:r>
            <w:r w:rsidRPr="00856F1B">
              <w:rPr>
                <w:rFonts w:ascii="Arial" w:eastAsia="宋体" w:hAnsi="Arial" w:cs="Arial"/>
                <w:vanish/>
                <w:color w:val="0066FF"/>
                <w:kern w:val="0"/>
                <w:sz w:val="18"/>
                <w:szCs w:val="18"/>
              </w:rPr>
              <w:t xml:space="preserve"> </w:t>
            </w:r>
            <w:r w:rsidRPr="00856F1B">
              <w:rPr>
                <w:rFonts w:ascii="Arial" w:eastAsia="宋体" w:hAnsi="Arial" w:cs="Arial"/>
                <w:vanish/>
                <w:color w:val="0066FF"/>
                <w:kern w:val="0"/>
                <w:sz w:val="18"/>
                <w:szCs w:val="18"/>
              </w:rPr>
              <w:t>扣税凭证</w:t>
            </w:r>
            <w:r w:rsidRPr="00856F1B">
              <w:rPr>
                <w:rFonts w:ascii="Arial" w:eastAsia="宋体" w:hAnsi="Arial" w:cs="Arial"/>
                <w:vanish/>
                <w:color w:val="0066FF"/>
                <w:kern w:val="0"/>
                <w:sz w:val="18"/>
                <w:szCs w:val="18"/>
              </w:rPr>
              <w:t xml:space="preserve"> </w:t>
            </w:r>
            <w:r w:rsidRPr="00856F1B">
              <w:rPr>
                <w:rFonts w:ascii="Arial" w:eastAsia="宋体" w:hAnsi="Arial" w:cs="Arial"/>
                <w:vanish/>
                <w:color w:val="0066FF"/>
                <w:kern w:val="0"/>
                <w:sz w:val="18"/>
                <w:szCs w:val="18"/>
              </w:rPr>
              <w:t>抵扣</w:t>
            </w:r>
            <w:r w:rsidRPr="00856F1B">
              <w:rPr>
                <w:rFonts w:ascii="Arial" w:eastAsia="宋体" w:hAnsi="Arial" w:cs="Arial"/>
                <w:vanish/>
                <w:color w:val="0066FF"/>
                <w:kern w:val="0"/>
                <w:sz w:val="18"/>
                <w:szCs w:val="18"/>
              </w:rPr>
              <w:t> </w:t>
            </w:r>
          </w:p>
        </w:tc>
      </w:tr>
      <w:tr w:rsidR="00856F1B" w:rsidRPr="00856F1B" w:rsidTr="00856F1B">
        <w:trPr>
          <w:tblCellSpacing w:w="0" w:type="dxa"/>
          <w:hidden/>
        </w:trPr>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录入单位：</w:t>
            </w:r>
          </w:p>
        </w:tc>
        <w:tc>
          <w:tcPr>
            <w:tcW w:w="0" w:type="auto"/>
            <w:noWrap/>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第七运维中心</w:t>
            </w:r>
            <w:r w:rsidRPr="00856F1B">
              <w:rPr>
                <w:rFonts w:ascii="Arial" w:eastAsia="宋体" w:hAnsi="Arial" w:cs="Arial"/>
                <w:vanish/>
                <w:color w:val="0066FF"/>
                <w:kern w:val="0"/>
                <w:sz w:val="18"/>
                <w:szCs w:val="18"/>
              </w:rPr>
              <w:t> </w:t>
            </w:r>
          </w:p>
        </w:tc>
        <w:tc>
          <w:tcPr>
            <w:tcW w:w="0" w:type="auto"/>
            <w:tcMar>
              <w:top w:w="45" w:type="dxa"/>
              <w:left w:w="45" w:type="dxa"/>
              <w:bottom w:w="45" w:type="dxa"/>
              <w:right w:w="45" w:type="dxa"/>
            </w:tcMar>
            <w:hideMark/>
          </w:tcPr>
          <w:p w:rsidR="00856F1B" w:rsidRPr="00856F1B" w:rsidRDefault="00856F1B" w:rsidP="00856F1B">
            <w:pPr>
              <w:widowControl/>
              <w:jc w:val="right"/>
              <w:rPr>
                <w:rFonts w:ascii="Arial" w:eastAsia="宋体" w:hAnsi="Arial" w:cs="Arial"/>
                <w:vanish/>
                <w:color w:val="333333"/>
                <w:kern w:val="0"/>
                <w:sz w:val="18"/>
                <w:szCs w:val="18"/>
              </w:rPr>
            </w:pPr>
            <w:r w:rsidRPr="00856F1B">
              <w:rPr>
                <w:rFonts w:ascii="Arial" w:eastAsia="宋体" w:hAnsi="Arial" w:cs="Arial"/>
                <w:vanish/>
                <w:color w:val="333333"/>
                <w:kern w:val="0"/>
                <w:sz w:val="18"/>
                <w:szCs w:val="18"/>
              </w:rPr>
              <w:t>备注：</w:t>
            </w:r>
          </w:p>
        </w:tc>
        <w:tc>
          <w:tcPr>
            <w:tcW w:w="0" w:type="auto"/>
            <w:noWrap/>
            <w:tcMar>
              <w:top w:w="45" w:type="dxa"/>
              <w:left w:w="45" w:type="dxa"/>
              <w:bottom w:w="45" w:type="dxa"/>
              <w:right w:w="45" w:type="dxa"/>
            </w:tcMar>
            <w:hideMark/>
          </w:tcPr>
          <w:p w:rsidR="00856F1B" w:rsidRPr="00856F1B" w:rsidRDefault="00856F1B" w:rsidP="00856F1B">
            <w:pPr>
              <w:widowControl/>
              <w:jc w:val="left"/>
              <w:rPr>
                <w:rFonts w:ascii="Arial" w:eastAsia="宋体" w:hAnsi="Arial" w:cs="Arial"/>
                <w:vanish/>
                <w:color w:val="0066FF"/>
                <w:kern w:val="0"/>
                <w:sz w:val="18"/>
                <w:szCs w:val="18"/>
              </w:rPr>
            </w:pPr>
            <w:r w:rsidRPr="00856F1B">
              <w:rPr>
                <w:rFonts w:ascii="Arial" w:eastAsia="宋体" w:hAnsi="Arial" w:cs="Arial"/>
                <w:vanish/>
                <w:color w:val="0066FF"/>
                <w:kern w:val="0"/>
                <w:sz w:val="18"/>
                <w:szCs w:val="18"/>
              </w:rPr>
              <w:t> </w:t>
            </w:r>
          </w:p>
        </w:tc>
      </w:tr>
    </w:tbl>
    <w:p w:rsidR="00856F1B" w:rsidRPr="00856F1B" w:rsidRDefault="00856F1B" w:rsidP="00856F1B">
      <w:pPr>
        <w:widowControl/>
        <w:jc w:val="left"/>
        <w:rPr>
          <w:rFonts w:ascii="Arial" w:eastAsia="宋体" w:hAnsi="Arial" w:cs="Arial"/>
          <w:color w:val="333333"/>
          <w:kern w:val="0"/>
          <w:sz w:val="18"/>
          <w:szCs w:val="18"/>
        </w:rPr>
      </w:pPr>
    </w:p>
    <w:tbl>
      <w:tblPr>
        <w:tblW w:w="4800" w:type="pct"/>
        <w:jc w:val="center"/>
        <w:tblCellSpacing w:w="0" w:type="dxa"/>
        <w:tblCellMar>
          <w:top w:w="15" w:type="dxa"/>
          <w:left w:w="15" w:type="dxa"/>
          <w:bottom w:w="15" w:type="dxa"/>
          <w:right w:w="15" w:type="dxa"/>
        </w:tblCellMar>
        <w:tblLook w:val="04A0"/>
      </w:tblPr>
      <w:tblGrid>
        <w:gridCol w:w="8003"/>
      </w:tblGrid>
      <w:tr w:rsidR="00856F1B" w:rsidRPr="00856F1B" w:rsidTr="00856F1B">
        <w:trPr>
          <w:tblCellSpacing w:w="0" w:type="dxa"/>
          <w:jc w:val="center"/>
        </w:trPr>
        <w:tc>
          <w:tcPr>
            <w:tcW w:w="0" w:type="auto"/>
            <w:vAlign w:val="center"/>
            <w:hideMark/>
          </w:tcPr>
          <w:p w:rsidR="00856F1B" w:rsidRPr="00856F1B" w:rsidRDefault="00856F1B" w:rsidP="00856F1B">
            <w:pPr>
              <w:widowControl/>
              <w:jc w:val="left"/>
              <w:rPr>
                <w:rFonts w:ascii="宋体" w:eastAsia="宋体" w:hAnsi="宋体" w:cs="Arial"/>
                <w:color w:val="333333"/>
                <w:kern w:val="0"/>
                <w:szCs w:val="21"/>
              </w:rPr>
            </w:pPr>
            <w:r w:rsidRPr="00856F1B">
              <w:rPr>
                <w:rFonts w:ascii="Times New Roman" w:eastAsia="宋体" w:hAnsi="Times New Roman" w:cs="Times New Roman" w:hint="eastAsia"/>
                <w:color w:val="333333"/>
                <w:kern w:val="0"/>
                <w:sz w:val="24"/>
                <w:szCs w:val="24"/>
              </w:rPr>
              <w:t xml:space="preserve"> </w:t>
            </w:r>
            <w:r w:rsidRPr="00856F1B">
              <w:rPr>
                <w:rFonts w:ascii="Times New Roman" w:eastAsia="宋体" w:hAnsi="Times New Roman" w:cs="Arial" w:hint="eastAsia"/>
                <w:color w:val="333333"/>
                <w:kern w:val="0"/>
                <w:szCs w:val="21"/>
              </w:rPr>
              <w:t xml:space="preserve">　　为保障纳税人合法权益，经国务院批准，现将</w:t>
            </w:r>
            <w:r w:rsidRPr="00856F1B">
              <w:rPr>
                <w:rFonts w:ascii="Times New Roman" w:eastAsia="宋体" w:hAnsi="Times New Roman" w:cs="Times New Roman" w:hint="eastAsia"/>
                <w:color w:val="333333"/>
                <w:kern w:val="0"/>
                <w:szCs w:val="21"/>
              </w:rPr>
              <w:t>2007</w:t>
            </w:r>
            <w:r w:rsidRPr="00856F1B">
              <w:rPr>
                <w:rFonts w:ascii="Times New Roman" w:eastAsia="宋体" w:hAnsi="Times New Roman" w:cs="Arial" w:hint="eastAsia"/>
                <w:color w:val="333333"/>
                <w:kern w:val="0"/>
                <w:szCs w:val="21"/>
              </w:rPr>
              <w:t>年</w:t>
            </w:r>
            <w:r w:rsidRPr="00856F1B">
              <w:rPr>
                <w:rFonts w:ascii="Times New Roman" w:eastAsia="宋体" w:hAnsi="Times New Roman" w:cs="Times New Roman" w:hint="eastAsia"/>
                <w:color w:val="333333"/>
                <w:kern w:val="0"/>
                <w:szCs w:val="21"/>
              </w:rPr>
              <w:t>1</w:t>
            </w:r>
            <w:r w:rsidRPr="00856F1B">
              <w:rPr>
                <w:rFonts w:ascii="Times New Roman" w:eastAsia="宋体" w:hAnsi="Times New Roman" w:cs="Arial" w:hint="eastAsia"/>
                <w:color w:val="333333"/>
                <w:kern w:val="0"/>
                <w:szCs w:val="21"/>
              </w:rPr>
              <w:t>月</w:t>
            </w:r>
            <w:r w:rsidRPr="00856F1B">
              <w:rPr>
                <w:rFonts w:ascii="Times New Roman" w:eastAsia="宋体" w:hAnsi="Times New Roman" w:cs="Times New Roman" w:hint="eastAsia"/>
                <w:color w:val="333333"/>
                <w:kern w:val="0"/>
                <w:szCs w:val="21"/>
              </w:rPr>
              <w:t>1</w:t>
            </w:r>
            <w:r w:rsidRPr="00856F1B">
              <w:rPr>
                <w:rFonts w:ascii="Times New Roman" w:eastAsia="宋体" w:hAnsi="Times New Roman" w:cs="Arial" w:hint="eastAsia"/>
                <w:color w:val="333333"/>
                <w:kern w:val="0"/>
                <w:szCs w:val="21"/>
              </w:rPr>
              <w:t>日以后开具的增值税扣税凭证未能按照规定期限办理认证或者稽核比对（以下简称逾期）抵扣问题公告如下：</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一、对增值税一般纳税人发生真实交易但由于客观原因造成增值税扣税凭证逾期的，经主管税务机关审核、逐级上报，由国家税务总局认证、稽核比对后，对比对相符的增值税扣税凭证，允许纳税人继续抵扣其进项税额。</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增值税一般纳税人由于除本公告第二条规定以外的其他原因造成增值税扣税凭证逾期的，仍应按照增值税扣税凭证抵扣期限有关规定执行。</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本公告所称增值税扣税凭证，包括增值税专用发票、海关进口增值税专用缴款书和公路内河货物运输业统一发票。</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333333"/>
                <w:kern w:val="0"/>
                <w:sz w:val="24"/>
                <w:szCs w:val="24"/>
              </w:rPr>
              <w:t xml:space="preserve">　　</w:t>
            </w:r>
            <w:r w:rsidRPr="00856F1B">
              <w:rPr>
                <w:rFonts w:ascii="Times New Roman" w:eastAsia="宋体" w:hAnsi="Times New Roman" w:cs="Arial" w:hint="eastAsia"/>
                <w:color w:val="FF0000"/>
                <w:kern w:val="0"/>
                <w:sz w:val="24"/>
                <w:szCs w:val="24"/>
              </w:rPr>
              <w:t>二、客观原因包括如下类型：</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（一）因自然灾害、社会突发事件等不可抗力因素造成增值税扣税凭证逾期；</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（二）增值税扣税凭证被盗、抢，或者因邮寄丢失、误</w:t>
            </w:r>
            <w:proofErr w:type="gramStart"/>
            <w:r w:rsidRPr="00856F1B">
              <w:rPr>
                <w:rFonts w:ascii="Times New Roman" w:eastAsia="宋体" w:hAnsi="Times New Roman" w:cs="Arial" w:hint="eastAsia"/>
                <w:color w:val="FF0000"/>
                <w:kern w:val="0"/>
                <w:sz w:val="24"/>
                <w:szCs w:val="24"/>
              </w:rPr>
              <w:t>递导致</w:t>
            </w:r>
            <w:proofErr w:type="gramEnd"/>
            <w:r w:rsidRPr="00856F1B">
              <w:rPr>
                <w:rFonts w:ascii="Times New Roman" w:eastAsia="宋体" w:hAnsi="Times New Roman" w:cs="Arial" w:hint="eastAsia"/>
                <w:color w:val="FF0000"/>
                <w:kern w:val="0"/>
                <w:sz w:val="24"/>
                <w:szCs w:val="24"/>
              </w:rPr>
              <w:t>逾期；</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（三）有关司法、行政机关在办理业务或者检查中，扣押增值税扣税凭证，纳税人不能正常履行申报义务，或者税务机关信息系统、网络故障，未能及时处理纳税人网上认证数据等导致增值税扣税凭证逾期；</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（四）买卖双方因经济纠纷，未能及时传递增值税扣税凭证，或者纳税人变更纳税地点，注销旧户和重新办理税务登记的时间过长，导致增值税扣税凭证逾期；</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（五）由于企业办税人员伤亡、突发危重疾病或者擅自离职，未能办理交接手续，导致增值税扣税凭证逾期；</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（六）国家税务总局规定的其他情形。</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三、增值税一般纳税人因客观原因造成增值税扣税凭证逾期的，可按照本公告附件《逾期增值税扣税凭证抵扣管理办法》的规定，申请办理逾期抵扣手续。</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Cs w:val="21"/>
              </w:rPr>
              <w:t xml:space="preserve">　　四、本公告自</w:t>
            </w:r>
            <w:r w:rsidRPr="00856F1B">
              <w:rPr>
                <w:rFonts w:ascii="Times New Roman" w:eastAsia="宋体" w:hAnsi="Times New Roman" w:cs="Times New Roman" w:hint="eastAsia"/>
                <w:color w:val="333333"/>
                <w:kern w:val="0"/>
                <w:szCs w:val="21"/>
              </w:rPr>
              <w:t>2011</w:t>
            </w:r>
            <w:r w:rsidRPr="00856F1B">
              <w:rPr>
                <w:rFonts w:ascii="Times New Roman" w:eastAsia="宋体" w:hAnsi="Times New Roman" w:cs="Arial" w:hint="eastAsia"/>
                <w:color w:val="333333"/>
                <w:kern w:val="0"/>
                <w:szCs w:val="21"/>
              </w:rPr>
              <w:t>年</w:t>
            </w:r>
            <w:r w:rsidRPr="00856F1B">
              <w:rPr>
                <w:rFonts w:ascii="Times New Roman" w:eastAsia="宋体" w:hAnsi="Times New Roman" w:cs="Times New Roman" w:hint="eastAsia"/>
                <w:color w:val="333333"/>
                <w:kern w:val="0"/>
                <w:szCs w:val="21"/>
              </w:rPr>
              <w:t>10</w:t>
            </w:r>
            <w:r w:rsidRPr="00856F1B">
              <w:rPr>
                <w:rFonts w:ascii="Times New Roman" w:eastAsia="宋体" w:hAnsi="Times New Roman" w:cs="Arial" w:hint="eastAsia"/>
                <w:color w:val="333333"/>
                <w:kern w:val="0"/>
                <w:szCs w:val="21"/>
              </w:rPr>
              <w:t>月</w:t>
            </w:r>
            <w:r w:rsidRPr="00856F1B">
              <w:rPr>
                <w:rFonts w:ascii="Times New Roman" w:eastAsia="宋体" w:hAnsi="Times New Roman" w:cs="Times New Roman" w:hint="eastAsia"/>
                <w:color w:val="333333"/>
                <w:kern w:val="0"/>
                <w:szCs w:val="21"/>
              </w:rPr>
              <w:t>1</w:t>
            </w:r>
            <w:r w:rsidRPr="00856F1B">
              <w:rPr>
                <w:rFonts w:ascii="Times New Roman" w:eastAsia="宋体" w:hAnsi="Times New Roman" w:cs="Arial" w:hint="eastAsia"/>
                <w:color w:val="333333"/>
                <w:kern w:val="0"/>
                <w:szCs w:val="21"/>
              </w:rPr>
              <w:t>日起执行。</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特此公告。</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附件：逾期增值税扣税凭证抵扣管理办法</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附件：</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w:t>
            </w:r>
          </w:p>
          <w:p w:rsidR="00856F1B" w:rsidRPr="00856F1B" w:rsidRDefault="00856F1B" w:rsidP="00856F1B">
            <w:pPr>
              <w:widowControl/>
              <w:jc w:val="center"/>
              <w:rPr>
                <w:rFonts w:ascii="宋体" w:eastAsia="宋体" w:hAnsi="宋体" w:cs="Arial" w:hint="eastAsia"/>
                <w:color w:val="333333"/>
                <w:kern w:val="0"/>
                <w:szCs w:val="21"/>
              </w:rPr>
            </w:pPr>
            <w:r w:rsidRPr="00856F1B">
              <w:rPr>
                <w:rFonts w:ascii="Times New Roman" w:eastAsia="宋体" w:hAnsi="Times New Roman" w:cs="Arial" w:hint="eastAsia"/>
                <w:b/>
                <w:bCs/>
                <w:color w:val="333333"/>
                <w:kern w:val="0"/>
                <w:sz w:val="24"/>
                <w:szCs w:val="24"/>
              </w:rPr>
              <w:t>逾期增值税扣税凭证抵扣管理办法</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一、增值税一般纳税人发生真实交易但由于客观原因造成增值税扣税凭证逾期的，可向主管税务机关申请办理逾期抵扣。</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333333"/>
                <w:kern w:val="0"/>
                <w:sz w:val="24"/>
                <w:szCs w:val="24"/>
              </w:rPr>
              <w:t xml:space="preserve">　　</w:t>
            </w:r>
            <w:r w:rsidRPr="00856F1B">
              <w:rPr>
                <w:rFonts w:ascii="Times New Roman" w:eastAsia="宋体" w:hAnsi="Times New Roman" w:cs="Arial" w:hint="eastAsia"/>
                <w:color w:val="FF0000"/>
                <w:kern w:val="0"/>
                <w:sz w:val="24"/>
                <w:szCs w:val="24"/>
              </w:rPr>
              <w:t>二、纳税人申请办理逾期抵扣时，应报送如下资料：</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（一）《逾期增值税扣税凭证抵扣申请单》；</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（二）增值税扣税凭证逾期情况说明。纳税人应详细说明未能按期办理</w:t>
            </w:r>
            <w:r w:rsidRPr="00856F1B">
              <w:rPr>
                <w:rFonts w:ascii="Times New Roman" w:eastAsia="宋体" w:hAnsi="Times New Roman" w:cs="Arial" w:hint="eastAsia"/>
                <w:color w:val="FF0000"/>
                <w:kern w:val="0"/>
                <w:sz w:val="24"/>
                <w:szCs w:val="24"/>
              </w:rPr>
              <w:lastRenderedPageBreak/>
              <w:t>认证或者申请稽核比对的原因，并加盖企业公章。其中，对客观原因不涉及第三方的，纳税人应说明的情况具体为：发生自然灾害、社会突发事件等不可抗力原因的，纳税人应详细说明自然灾害或者社会突发事件发生的时间、影响地区、对纳税人生产经营的实际影响等；纳税人变更纳税地点，注销旧户和重新办理税务登记的时间过长，导致增值税扣税凭证逾期的，纳税人应详细说明办理搬迁时间、注销旧户和注册新户的时间、搬出及搬入地点等；企业办税人员擅自离职，未办理交接手续的，纳税人应详细说明事情经过、办税人员姓名、离职时间等，并提供解除劳动关系合同及企业内部相关处理决定。</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三）客观原因涉及第三方的，应提供第三方证明或说明。具体为：企业办税人员伤亡或者突发危重疾病的，应提供公安机关、交通管理部门或者医院证明；有关司法、行政机关在办理业务或者检查中，扣押增值税扣税凭证，导致纳税人不能正常履行申报义务的，应提供相关司法、行政机关证明；增值税扣税凭证被盗、抢的，应提供公安机关证明；买卖双方因经济纠纷，未能及时传递增值税扣税凭证的，应提供卖方出具的情况说明；邮寄丢失或者误</w:t>
            </w:r>
            <w:proofErr w:type="gramStart"/>
            <w:r w:rsidRPr="00856F1B">
              <w:rPr>
                <w:rFonts w:ascii="Times New Roman" w:eastAsia="宋体" w:hAnsi="Times New Roman" w:cs="Arial" w:hint="eastAsia"/>
                <w:color w:val="FF0000"/>
                <w:kern w:val="0"/>
                <w:sz w:val="24"/>
                <w:szCs w:val="24"/>
              </w:rPr>
              <w:t>递导致</w:t>
            </w:r>
            <w:proofErr w:type="gramEnd"/>
            <w:r w:rsidRPr="00856F1B">
              <w:rPr>
                <w:rFonts w:ascii="Times New Roman" w:eastAsia="宋体" w:hAnsi="Times New Roman" w:cs="Arial" w:hint="eastAsia"/>
                <w:color w:val="FF0000"/>
                <w:kern w:val="0"/>
                <w:sz w:val="24"/>
                <w:szCs w:val="24"/>
              </w:rPr>
              <w:t>增值税扣税凭证逾期的，应提供邮政单位出具的说明。</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（四）逾期增值税扣税凭证电子信息；</w:t>
            </w:r>
          </w:p>
          <w:p w:rsidR="00856F1B" w:rsidRPr="00856F1B" w:rsidRDefault="00856F1B" w:rsidP="00856F1B">
            <w:pPr>
              <w:widowControl/>
              <w:jc w:val="left"/>
              <w:rPr>
                <w:rFonts w:ascii="宋体" w:eastAsia="宋体" w:hAnsi="宋体" w:cs="Arial" w:hint="eastAsia"/>
                <w:color w:val="FF0000"/>
                <w:kern w:val="0"/>
                <w:szCs w:val="21"/>
              </w:rPr>
            </w:pPr>
            <w:r w:rsidRPr="00856F1B">
              <w:rPr>
                <w:rFonts w:ascii="Times New Roman" w:eastAsia="宋体" w:hAnsi="Times New Roman" w:cs="Arial" w:hint="eastAsia"/>
                <w:color w:val="FF0000"/>
                <w:kern w:val="0"/>
                <w:sz w:val="24"/>
                <w:szCs w:val="24"/>
              </w:rPr>
              <w:t xml:space="preserve">　　（五）逾期增值税扣税凭证复印件（复印件必须整洁、清晰，在凭证备注栏注明“与原件一致”并加盖企业公章，增值税专用发票复印件必须裁剪成与原</w:t>
            </w:r>
            <w:proofErr w:type="gramStart"/>
            <w:r w:rsidRPr="00856F1B">
              <w:rPr>
                <w:rFonts w:ascii="Times New Roman" w:eastAsia="宋体" w:hAnsi="Times New Roman" w:cs="Arial" w:hint="eastAsia"/>
                <w:color w:val="FF0000"/>
                <w:kern w:val="0"/>
                <w:sz w:val="24"/>
                <w:szCs w:val="24"/>
              </w:rPr>
              <w:t>票大小</w:t>
            </w:r>
            <w:proofErr w:type="gramEnd"/>
            <w:r w:rsidRPr="00856F1B">
              <w:rPr>
                <w:rFonts w:ascii="Times New Roman" w:eastAsia="宋体" w:hAnsi="Times New Roman" w:cs="Arial" w:hint="eastAsia"/>
                <w:color w:val="FF0000"/>
                <w:kern w:val="0"/>
                <w:sz w:val="24"/>
                <w:szCs w:val="24"/>
              </w:rPr>
              <w:t>一致）。</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三、由于税务机关自身原因造成纳税人增值税扣税凭证逾期的，主管税务机关应在上报文件中说明相关情况。具体为，税务机关信息系统或者网络故障，未能及时处理纳税人网上认证数据的，主管税务机关应详细说明信息系统或网络故障出现、持续的时间，故障原因及表现等。</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四、主管税务机关应认真审核纳税人所报资料，重点审核纳税人所报送资料是否齐全、交易是否真实发生、造成增值税扣税凭证逾期的原因是否属于客观原因、第三方证明或说明所述时间是否具有逻辑性、资料信息是否一致、增值税扣税凭证复印件与原件是否一致等。</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主管税务机关审核无误后，应向上级税务机关正式上报，并将增值税扣税凭证逾期情况说明、第三方证明或说明、逾期增值税扣税凭证电子信息、逾期增值税扣税凭证复印件逐级审核后上报至国家税务总局。</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五、国家税务总局将对各地上报的资料进行审核，并对逾期增值税扣税凭证信息进行认证、稽核比对，对资料符合条件、稽核比对结果相符的，通知省税务机关允许纳税人继续抵扣逾期增值税扣税凭证上所注明或计算的税额。</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六、主管税务机关可定期或者不定期对已抵扣逾期增值税扣税凭证进项税额的纳税人进行复查，发现纳税人提供虚假信息，存在弄虚作假行为的，应责令纳税人将已抵扣进项税额转出，并按</w:t>
            </w:r>
            <w:r w:rsidRPr="00856F1B">
              <w:rPr>
                <w:rFonts w:ascii="Times New Roman" w:eastAsia="宋体" w:hAnsi="Times New Roman" w:cs="Arial" w:hint="eastAsia"/>
                <w:b/>
                <w:bCs/>
                <w:color w:val="333333"/>
                <w:kern w:val="0"/>
                <w:sz w:val="24"/>
                <w:szCs w:val="24"/>
              </w:rPr>
              <w:t>《中华人民共和国税收征收管理法》</w:t>
            </w:r>
            <w:r w:rsidRPr="00856F1B">
              <w:rPr>
                <w:rFonts w:ascii="Times New Roman" w:eastAsia="宋体" w:hAnsi="Times New Roman" w:cs="Arial" w:hint="eastAsia"/>
                <w:color w:val="333333"/>
                <w:kern w:val="0"/>
                <w:sz w:val="24"/>
                <w:szCs w:val="24"/>
              </w:rPr>
              <w:t>的有关规定进行处罚。</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 w:val="24"/>
                <w:szCs w:val="24"/>
              </w:rPr>
              <w:t xml:space="preserve">　　</w:t>
            </w:r>
          </w:p>
          <w:p w:rsidR="00856F1B" w:rsidRPr="00856F1B" w:rsidRDefault="00856F1B" w:rsidP="00856F1B">
            <w:pPr>
              <w:widowControl/>
              <w:jc w:val="left"/>
              <w:rPr>
                <w:rFonts w:ascii="宋体" w:eastAsia="宋体" w:hAnsi="宋体" w:cs="Arial" w:hint="eastAsia"/>
                <w:color w:val="333333"/>
                <w:kern w:val="0"/>
                <w:szCs w:val="21"/>
              </w:rPr>
            </w:pPr>
            <w:r w:rsidRPr="00856F1B">
              <w:rPr>
                <w:rFonts w:ascii="Times New Roman" w:eastAsia="宋体" w:hAnsi="Times New Roman" w:cs="Arial" w:hint="eastAsia"/>
                <w:color w:val="333333"/>
                <w:kern w:val="0"/>
                <w:szCs w:val="21"/>
              </w:rPr>
              <w:t xml:space="preserve">　　附表：</w:t>
            </w:r>
            <w:r w:rsidRPr="00856F1B">
              <w:rPr>
                <w:rFonts w:ascii="Times New Roman" w:eastAsia="宋体" w:hAnsi="Times New Roman" w:cs="Times New Roman" w:hint="eastAsia"/>
                <w:color w:val="333333"/>
                <w:kern w:val="0"/>
                <w:szCs w:val="21"/>
              </w:rPr>
              <w:t xml:space="preserve">1. </w:t>
            </w:r>
            <w:r w:rsidRPr="00856F1B">
              <w:rPr>
                <w:rFonts w:ascii="Times New Roman" w:eastAsia="宋体" w:hAnsi="Times New Roman" w:cs="Arial" w:hint="eastAsia"/>
                <w:color w:val="333333"/>
                <w:kern w:val="0"/>
                <w:szCs w:val="21"/>
              </w:rPr>
              <w:t>逾期增值税扣税凭证抵扣申请单</w:t>
            </w:r>
          </w:p>
          <w:p w:rsidR="00856F1B" w:rsidRPr="00856F1B" w:rsidRDefault="00856F1B" w:rsidP="00856F1B">
            <w:pPr>
              <w:widowControl/>
              <w:jc w:val="left"/>
              <w:rPr>
                <w:rFonts w:ascii="宋体" w:eastAsia="宋体" w:hAnsi="宋体" w:cs="Arial"/>
                <w:color w:val="333333"/>
                <w:kern w:val="0"/>
                <w:szCs w:val="21"/>
              </w:rPr>
            </w:pPr>
            <w:r w:rsidRPr="00856F1B">
              <w:rPr>
                <w:rFonts w:ascii="Times New Roman" w:eastAsia="宋体" w:hAnsi="Times New Roman" w:cs="Arial" w:hint="eastAsia"/>
                <w:color w:val="333333"/>
                <w:kern w:val="0"/>
                <w:szCs w:val="21"/>
              </w:rPr>
              <w:t xml:space="preserve">　　　　　</w:t>
            </w:r>
            <w:r w:rsidRPr="00856F1B">
              <w:rPr>
                <w:rFonts w:ascii="Times New Roman" w:eastAsia="宋体" w:hAnsi="Times New Roman" w:cs="Times New Roman" w:hint="eastAsia"/>
                <w:color w:val="333333"/>
                <w:kern w:val="0"/>
                <w:szCs w:val="21"/>
              </w:rPr>
              <w:t xml:space="preserve">2. </w:t>
            </w:r>
            <w:r w:rsidRPr="00856F1B">
              <w:rPr>
                <w:rFonts w:ascii="Times New Roman" w:eastAsia="宋体" w:hAnsi="Times New Roman" w:cs="Arial" w:hint="eastAsia"/>
                <w:color w:val="333333"/>
                <w:kern w:val="0"/>
                <w:szCs w:val="21"/>
              </w:rPr>
              <w:t>逾期增值税扣税凭证电子信息格式</w:t>
            </w:r>
          </w:p>
        </w:tc>
      </w:tr>
    </w:tbl>
    <w:p w:rsidR="00406D7F" w:rsidRPr="00856F1B" w:rsidRDefault="00406D7F"/>
    <w:sectPr w:rsidR="00406D7F" w:rsidRPr="00856F1B" w:rsidSect="00406D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F1B" w:rsidRDefault="00856F1B" w:rsidP="00856F1B">
      <w:r>
        <w:separator/>
      </w:r>
    </w:p>
  </w:endnote>
  <w:endnote w:type="continuationSeparator" w:id="0">
    <w:p w:rsidR="00856F1B" w:rsidRDefault="00856F1B" w:rsidP="00856F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F1B" w:rsidRDefault="00856F1B" w:rsidP="00856F1B">
      <w:r>
        <w:separator/>
      </w:r>
    </w:p>
  </w:footnote>
  <w:footnote w:type="continuationSeparator" w:id="0">
    <w:p w:rsidR="00856F1B" w:rsidRDefault="00856F1B" w:rsidP="00856F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6F1B"/>
    <w:rsid w:val="00134966"/>
    <w:rsid w:val="00406D7F"/>
    <w:rsid w:val="0080304E"/>
    <w:rsid w:val="00856F1B"/>
    <w:rsid w:val="00BC59A0"/>
    <w:rsid w:val="00F779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D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6F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56F1B"/>
    <w:rPr>
      <w:sz w:val="18"/>
      <w:szCs w:val="18"/>
    </w:rPr>
  </w:style>
  <w:style w:type="paragraph" w:styleId="a4">
    <w:name w:val="footer"/>
    <w:basedOn w:val="a"/>
    <w:link w:val="Char0"/>
    <w:uiPriority w:val="99"/>
    <w:semiHidden/>
    <w:unhideWhenUsed/>
    <w:rsid w:val="00856F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56F1B"/>
    <w:rPr>
      <w:sz w:val="18"/>
      <w:szCs w:val="18"/>
    </w:rPr>
  </w:style>
  <w:style w:type="character" w:styleId="a5">
    <w:name w:val="Hyperlink"/>
    <w:basedOn w:val="a0"/>
    <w:uiPriority w:val="99"/>
    <w:semiHidden/>
    <w:unhideWhenUsed/>
    <w:rsid w:val="00856F1B"/>
    <w:rPr>
      <w:strike w:val="0"/>
      <w:dstrike w:val="0"/>
      <w:color w:val="333333"/>
      <w:u w:val="none"/>
      <w:effect w:val="none"/>
    </w:rPr>
  </w:style>
  <w:style w:type="character" w:styleId="a6">
    <w:name w:val="Strong"/>
    <w:basedOn w:val="a0"/>
    <w:uiPriority w:val="22"/>
    <w:qFormat/>
    <w:rsid w:val="00856F1B"/>
    <w:rPr>
      <w:b/>
      <w:bCs/>
    </w:rPr>
  </w:style>
  <w:style w:type="character" w:customStyle="1" w:styleId="red2">
    <w:name w:val="red2"/>
    <w:basedOn w:val="a0"/>
    <w:rsid w:val="00856F1B"/>
    <w:rPr>
      <w:color w:val="D00000"/>
    </w:rPr>
  </w:style>
  <w:style w:type="character" w:customStyle="1" w:styleId="xsycmx1">
    <w:name w:val="xsycmx1"/>
    <w:basedOn w:val="a0"/>
    <w:rsid w:val="00856F1B"/>
  </w:style>
</w:styles>
</file>

<file path=word/webSettings.xml><?xml version="1.0" encoding="utf-8"?>
<w:webSettings xmlns:r="http://schemas.openxmlformats.org/officeDocument/2006/relationships" xmlns:w="http://schemas.openxmlformats.org/wordprocessingml/2006/main">
  <w:divs>
    <w:div w:id="443381059">
      <w:bodyDiv w:val="1"/>
      <w:marLeft w:val="0"/>
      <w:marRight w:val="0"/>
      <w:marTop w:val="0"/>
      <w:marBottom w:val="0"/>
      <w:divBdr>
        <w:top w:val="none" w:sz="0" w:space="0" w:color="auto"/>
        <w:left w:val="none" w:sz="0" w:space="0" w:color="auto"/>
        <w:bottom w:val="none" w:sz="0" w:space="0" w:color="auto"/>
        <w:right w:val="none" w:sz="0" w:space="0" w:color="auto"/>
      </w:divBdr>
      <w:divsChild>
        <w:div w:id="1289358431">
          <w:marLeft w:val="0"/>
          <w:marRight w:val="0"/>
          <w:marTop w:val="0"/>
          <w:marBottom w:val="0"/>
          <w:divBdr>
            <w:top w:val="none" w:sz="0" w:space="0" w:color="auto"/>
            <w:left w:val="none" w:sz="0" w:space="0" w:color="auto"/>
            <w:bottom w:val="none" w:sz="0" w:space="0" w:color="auto"/>
            <w:right w:val="none" w:sz="0" w:space="0" w:color="auto"/>
          </w:divBdr>
          <w:divsChild>
            <w:div w:id="1875117332">
              <w:marLeft w:val="0"/>
              <w:marRight w:val="0"/>
              <w:marTop w:val="0"/>
              <w:marBottom w:val="0"/>
              <w:divBdr>
                <w:top w:val="none" w:sz="0" w:space="0" w:color="auto"/>
                <w:left w:val="none" w:sz="0" w:space="0" w:color="auto"/>
                <w:bottom w:val="single" w:sz="6" w:space="0" w:color="C1C1C1"/>
                <w:right w:val="none" w:sz="0" w:space="0" w:color="auto"/>
              </w:divBdr>
            </w:div>
            <w:div w:id="938487450">
              <w:marLeft w:val="0"/>
              <w:marRight w:val="0"/>
              <w:marTop w:val="0"/>
              <w:marBottom w:val="150"/>
              <w:divBdr>
                <w:top w:val="none" w:sz="0" w:space="0" w:color="auto"/>
                <w:left w:val="none" w:sz="0" w:space="0" w:color="auto"/>
                <w:bottom w:val="none" w:sz="0" w:space="0" w:color="auto"/>
                <w:right w:val="none" w:sz="0" w:space="0" w:color="auto"/>
              </w:divBdr>
              <w:divsChild>
                <w:div w:id="174707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howMore('yes');" TargetMode="External"/><Relationship Id="rId3" Type="http://schemas.openxmlformats.org/officeDocument/2006/relationships/webSettings" Target="webSettings.xml"/><Relationship Id="rId7" Type="http://schemas.openxmlformats.org/officeDocument/2006/relationships/control" Target="activeX/activeX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javascript:showMore('no');"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2171</Characters>
  <Application>Microsoft Office Word</Application>
  <DocSecurity>0</DocSecurity>
  <Lines>18</Lines>
  <Paragraphs>5</Paragraphs>
  <ScaleCrop>false</ScaleCrop>
  <Company>thtfpc</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田绘伶</dc:creator>
  <cp:keywords/>
  <dc:description/>
  <cp:lastModifiedBy>田绘伶</cp:lastModifiedBy>
  <cp:revision>2</cp:revision>
  <dcterms:created xsi:type="dcterms:W3CDTF">2016-11-29T08:18:00Z</dcterms:created>
  <dcterms:modified xsi:type="dcterms:W3CDTF">2016-11-29T08:19:00Z</dcterms:modified>
</cp:coreProperties>
</file>